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/>
        <w:t>УТВЕРЖДАЮ</w:t>
      </w:r>
    </w:p>
    <w:p>
      <w:pPr>
        <w:pStyle w:val="Normal"/>
        <w:jc w:val="right"/>
        <w:rPr/>
      </w:pPr>
      <w:r>
        <w:rPr/>
        <w:t>Главный технолог</w:t>
      </w:r>
    </w:p>
    <w:p>
      <w:pPr>
        <w:pStyle w:val="Normal"/>
        <w:jc w:val="right"/>
        <w:rPr/>
      </w:pPr>
      <w:r>
        <w:rPr/>
        <w:t>ООО «Самарские коммунальные системы»</w:t>
      </w:r>
    </w:p>
    <w:p>
      <w:pPr>
        <w:pStyle w:val="Normal"/>
        <w:jc w:val="right"/>
        <w:rPr/>
      </w:pPr>
      <w:r>
        <w:rPr/>
        <w:t>__________________Л.А. Таловыря</w:t>
      </w:r>
    </w:p>
    <w:p>
      <w:pPr>
        <w:pStyle w:val="Normal"/>
        <w:jc w:val="right"/>
        <w:rPr/>
      </w:pPr>
      <w:r>
        <w:rPr/>
        <w:t>«_____»__________________2021 г.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center"/>
        <w:rPr/>
      </w:pPr>
      <w:r>
        <w:rPr/>
        <w:t>ТЕХНИЧЕСКОЕ ЗАДАНИЕ</w:t>
      </w:r>
    </w:p>
    <w:p>
      <w:pPr>
        <w:pStyle w:val="Normal"/>
        <w:jc w:val="center"/>
        <w:rPr/>
      </w:pPr>
      <w:r>
        <w:rPr/>
        <w:t xml:space="preserve">на </w:t>
      </w:r>
      <w:r>
        <w:rPr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с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пектрометр атомно-эмиссионный с индуктивно-связанной плазмой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ИСП-ОЭС  </w:t>
      </w:r>
      <w:r>
        <w:rPr>
          <w:rFonts w:cs="Tahoma" w:ascii="Times New Roman" w:hAnsi="Times New Roman"/>
          <w:b w:val="false"/>
          <w:bCs w:val="false"/>
          <w:sz w:val="24"/>
          <w:szCs w:val="24"/>
        </w:rPr>
        <w:t>А</w:t>
      </w:r>
      <w:r>
        <w:rPr>
          <w:rFonts w:cs="Tahoma" w:ascii="Times New Roman" w:hAnsi="Times New Roman"/>
          <w:b w:val="false"/>
          <w:bCs w:val="false"/>
          <w:sz w:val="24"/>
          <w:szCs w:val="24"/>
          <w:lang w:val="en-US"/>
        </w:rPr>
        <w:t xml:space="preserve">vio 220 </w:t>
      </w:r>
      <w:r>
        <w:rPr>
          <w:rFonts w:cs="Tahoma" w:ascii="Times New Roman" w:hAnsi="Times New Roman"/>
          <w:b w:val="false"/>
          <w:bCs w:val="false"/>
          <w:sz w:val="24"/>
          <w:szCs w:val="24"/>
          <w:lang w:val="ru-RU"/>
        </w:rPr>
        <w:t xml:space="preserve"> </w:t>
      </w:r>
      <w:r>
        <w:rPr>
          <w:rFonts w:cs="Tahoma" w:ascii="Times New Roman" w:hAnsi="Times New Roman"/>
          <w:b w:val="false"/>
          <w:bCs w:val="false"/>
          <w:color w:val="000000"/>
          <w:sz w:val="24"/>
          <w:szCs w:val="24"/>
          <w:lang w:val="ru-RU"/>
        </w:rPr>
        <w:t>или аналога</w:t>
      </w:r>
    </w:p>
    <w:tbl>
      <w:tblPr>
        <w:tblW w:w="9638" w:type="dxa"/>
        <w:jc w:val="left"/>
        <w:tblInd w:w="4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9" w:type="dxa"/>
          <w:bottom w:w="55" w:type="dxa"/>
          <w:right w:w="55" w:type="dxa"/>
        </w:tblCellMar>
      </w:tblPr>
      <w:tblGrid>
        <w:gridCol w:w="1023"/>
        <w:gridCol w:w="2775"/>
        <w:gridCol w:w="5840"/>
      </w:tblGrid>
      <w:tr>
        <w:trPr/>
        <w:tc>
          <w:tcPr>
            <w:tcW w:w="10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Style1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7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Style1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Название</w:t>
            </w:r>
          </w:p>
        </w:tc>
        <w:tc>
          <w:tcPr>
            <w:tcW w:w="58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Style1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Технические характеристики</w:t>
            </w:r>
          </w:p>
        </w:tc>
      </w:tr>
      <w:tr>
        <w:trPr/>
        <w:tc>
          <w:tcPr>
            <w:tcW w:w="10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Style19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spacing w:before="20" w:after="20"/>
              <w:jc w:val="left"/>
              <w:rPr>
                <w:rFonts w:ascii="Times New Roman" w:hAnsi="Times New Roman" w:cs="Tahoma"/>
                <w:sz w:val="20"/>
                <w:szCs w:val="20"/>
              </w:rPr>
            </w:pPr>
            <w:r>
              <w:rPr>
                <w:rFonts w:cs="Tahoma" w:ascii="Times New Roman" w:hAnsi="Times New Roman"/>
                <w:sz w:val="20"/>
                <w:szCs w:val="20"/>
              </w:rPr>
              <w:t>ФУНКЦИОНАЛЬНЫЕ ПАРАМЕТРЫ</w:t>
            </w:r>
          </w:p>
        </w:tc>
        <w:tc>
          <w:tcPr>
            <w:tcW w:w="58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tabs>
                <w:tab w:val="left" w:pos="180" w:leader="none"/>
              </w:tabs>
              <w:spacing w:before="20" w:after="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10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rPr>
                <w:rFonts w:ascii="Times New Roman" w:hAnsi="Times New Roman" w:cs="Tahoma"/>
                <w:sz w:val="20"/>
                <w:szCs w:val="20"/>
              </w:rPr>
            </w:pPr>
            <w:r>
              <w:rPr>
                <w:rFonts w:cs="Tahoma"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7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spacing w:before="20" w:after="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Назначение</w:t>
            </w:r>
          </w:p>
        </w:tc>
        <w:tc>
          <w:tcPr>
            <w:tcW w:w="58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tabs>
                <w:tab w:val="left" w:pos="180" w:leader="none"/>
              </w:tabs>
              <w:spacing w:before="20" w:after="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Проведение количественного многоэлементного анализа любых типов образцов (жидких и твердых – в растворенном состоянии), в широком диапазоне концентраций от мкг/л до процентов.</w:t>
            </w:r>
          </w:p>
        </w:tc>
      </w:tr>
      <w:tr>
        <w:trPr/>
        <w:tc>
          <w:tcPr>
            <w:tcW w:w="10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1.2</w:t>
            </w:r>
          </w:p>
        </w:tc>
        <w:tc>
          <w:tcPr>
            <w:tcW w:w="27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Тип</w:t>
            </w:r>
          </w:p>
        </w:tc>
        <w:tc>
          <w:tcPr>
            <w:tcW w:w="58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Атомно-эмиссионный спектрометр с индуктивно-связанной плазмой (компактное настольное исполнение).</w:t>
            </w:r>
          </w:p>
        </w:tc>
      </w:tr>
      <w:tr>
        <w:trPr/>
        <w:tc>
          <w:tcPr>
            <w:tcW w:w="10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1.3</w:t>
            </w:r>
          </w:p>
        </w:tc>
        <w:tc>
          <w:tcPr>
            <w:tcW w:w="27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Оптическая схема</w:t>
            </w:r>
          </w:p>
        </w:tc>
        <w:tc>
          <w:tcPr>
            <w:tcW w:w="58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 двойным Эшелле – монохроматором. Выход на любую аналитическую линию менее чем за 3 сек. Камера оптики герметизирована. </w:t>
            </w:r>
          </w:p>
        </w:tc>
      </w:tr>
      <w:tr>
        <w:trPr/>
        <w:tc>
          <w:tcPr>
            <w:tcW w:w="10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27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Диапазон длин волн</w:t>
            </w:r>
          </w:p>
        </w:tc>
        <w:tc>
          <w:tcPr>
            <w:tcW w:w="58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spacing w:before="20" w:after="20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 хуже, чем 165 – 900 </w:t>
            </w:r>
            <w:r>
              <w:rPr>
                <w:rFonts w:ascii="Times New Roman" w:hAnsi="Times New Roman"/>
                <w:sz w:val="20"/>
                <w:szCs w:val="20"/>
              </w:rPr>
              <w:t>нм</w:t>
            </w:r>
          </w:p>
        </w:tc>
      </w:tr>
      <w:tr>
        <w:trPr/>
        <w:tc>
          <w:tcPr>
            <w:tcW w:w="10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1.5</w:t>
            </w:r>
          </w:p>
        </w:tc>
        <w:tc>
          <w:tcPr>
            <w:tcW w:w="27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Оптическая разрешающая способность</w:t>
            </w:r>
          </w:p>
        </w:tc>
        <w:tc>
          <w:tcPr>
            <w:tcW w:w="58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Спектральное разрешение на 200 нм не более 0,009 нм. Значение спектрального разрешения спектрометра  указано в Описании типа средств измерений.</w:t>
            </w:r>
          </w:p>
        </w:tc>
      </w:tr>
      <w:tr>
        <w:trPr/>
        <w:tc>
          <w:tcPr>
            <w:tcW w:w="10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1.6</w:t>
            </w:r>
          </w:p>
        </w:tc>
        <w:tc>
          <w:tcPr>
            <w:tcW w:w="27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spacing w:before="20" w:after="20"/>
              <w:rPr>
                <w:rFonts w:ascii="Times New Roman" w:hAnsi="Times New Roman" w:eastAsia="TimesNewRomanPSMT"/>
                <w:sz w:val="20"/>
                <w:szCs w:val="20"/>
              </w:rPr>
            </w:pPr>
            <w:r>
              <w:rPr>
                <w:rFonts w:eastAsia="TimesNewRomanPSMT" w:ascii="Times New Roman" w:hAnsi="Times New Roman"/>
                <w:sz w:val="20"/>
                <w:szCs w:val="20"/>
              </w:rPr>
              <w:t>Предел допускаемого относительного СКО выходного сигнала, %</w:t>
            </w:r>
          </w:p>
        </w:tc>
        <w:tc>
          <w:tcPr>
            <w:tcW w:w="58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Style15"/>
              <w:spacing w:lineRule="atLeast" w:line="11" w:before="120"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1%. Значение ОСКО выходного сигнала спектрометра  указано в Описании типа средств измерений.</w:t>
            </w:r>
          </w:p>
        </w:tc>
      </w:tr>
      <w:tr>
        <w:trPr/>
        <w:tc>
          <w:tcPr>
            <w:tcW w:w="10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1.7</w:t>
            </w:r>
          </w:p>
        </w:tc>
        <w:tc>
          <w:tcPr>
            <w:tcW w:w="27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Расположение горелки</w:t>
            </w:r>
          </w:p>
        </w:tc>
        <w:tc>
          <w:tcPr>
            <w:tcW w:w="58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Вертикальное. </w:t>
            </w:r>
          </w:p>
        </w:tc>
      </w:tr>
      <w:tr>
        <w:trPr/>
        <w:tc>
          <w:tcPr>
            <w:tcW w:w="10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1.8</w:t>
            </w:r>
          </w:p>
        </w:tc>
        <w:tc>
          <w:tcPr>
            <w:tcW w:w="27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Обзор плазмы</w:t>
            </w:r>
          </w:p>
        </w:tc>
        <w:tc>
          <w:tcPr>
            <w:tcW w:w="58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spacing w:before="20" w:after="20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Двойной (радиальный и аксиальный), с  ослаблением интенсивности сигнала для отдельно выбранных длин волн без влияния на другие длины волн, с автоматическим программным переключением и не требующий ручной настройки. Встроенная видеокамера за наблюдением за плазмой на экране монитора.</w:t>
            </w:r>
          </w:p>
        </w:tc>
      </w:tr>
      <w:tr>
        <w:trPr/>
        <w:tc>
          <w:tcPr>
            <w:tcW w:w="10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1.9</w:t>
            </w:r>
          </w:p>
        </w:tc>
        <w:tc>
          <w:tcPr>
            <w:tcW w:w="27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Аксиальный интерфейс</w:t>
            </w:r>
          </w:p>
        </w:tc>
        <w:tc>
          <w:tcPr>
            <w:tcW w:w="58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Аксиальный интерфейс, не требующий охлаждения оптического входа противотоком аргона и водо-охлаждаемых конусов.</w:t>
            </w:r>
          </w:p>
        </w:tc>
      </w:tr>
      <w:tr>
        <w:trPr/>
        <w:tc>
          <w:tcPr>
            <w:tcW w:w="10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1.10</w:t>
            </w:r>
          </w:p>
        </w:tc>
        <w:tc>
          <w:tcPr>
            <w:tcW w:w="27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Детектор</w:t>
            </w:r>
          </w:p>
        </w:tc>
        <w:tc>
          <w:tcPr>
            <w:tcW w:w="58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Твердотельный CCD детектор, чувствительный в УФ.</w:t>
            </w:r>
          </w:p>
          <w:p>
            <w:pPr>
              <w:pStyle w:val="Normal"/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Охлаждение детектора элементом Пельтье (до - 8°С).</w:t>
            </w:r>
          </w:p>
          <w:p>
            <w:pPr>
              <w:pStyle w:val="Normal"/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Корпус детектора загерметизирован и заполнен сухим азотом и не требует продувки аргоном.</w:t>
            </w:r>
          </w:p>
        </w:tc>
      </w:tr>
      <w:tr>
        <w:trPr/>
        <w:tc>
          <w:tcPr>
            <w:tcW w:w="10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1.11</w:t>
            </w:r>
          </w:p>
        </w:tc>
        <w:tc>
          <w:tcPr>
            <w:tcW w:w="27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Генератор</w:t>
            </w:r>
          </w:p>
        </w:tc>
        <w:tc>
          <w:tcPr>
            <w:tcW w:w="58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Твердотельный генератор, работающий в режиме свободной генерации при частоте 40 МГц. </w:t>
            </w:r>
          </w:p>
          <w:p>
            <w:pPr>
              <w:pStyle w:val="Normal"/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 содержит генераторной лампы. </w:t>
            </w:r>
          </w:p>
          <w:p>
            <w:pPr>
              <w:pStyle w:val="Normal"/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Подводимая мощность не менее 1500 Вт, с шагом 1 Вт. Без ограничений по времени использования на максимальной мощности 1500 Вт при аксиальном и радиальном обзорах.</w:t>
            </w:r>
          </w:p>
          <w:p>
            <w:pPr>
              <w:pStyle w:val="Normal"/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Эффективность по мощности более 79 % при уровне стабильности не более 0,1 %. </w:t>
            </w:r>
          </w:p>
          <w:p>
            <w:pPr>
              <w:pStyle w:val="Normal"/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Поджиг плазмы автоматический, для любых растворов и в любое заданное оператором время. </w:t>
            </w:r>
          </w:p>
        </w:tc>
      </w:tr>
      <w:tr>
        <w:trPr/>
        <w:tc>
          <w:tcPr>
            <w:tcW w:w="10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1.12</w:t>
            </w:r>
          </w:p>
        </w:tc>
        <w:tc>
          <w:tcPr>
            <w:tcW w:w="27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Продувка спектрометра</w:t>
            </w:r>
          </w:p>
        </w:tc>
        <w:tc>
          <w:tcPr>
            <w:tcW w:w="58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spacing w:before="20" w:after="20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Для продувки оптики спектрометра во время измерений используется как аргон, так и азот. Во время ожидания не требуется продувка аргоном (азотом).</w:t>
            </w:r>
          </w:p>
        </w:tc>
      </w:tr>
      <w:tr>
        <w:trPr/>
        <w:tc>
          <w:tcPr>
            <w:tcW w:w="10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27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Динамическая стабилизация по длине волны</w:t>
            </w:r>
          </w:p>
        </w:tc>
        <w:tc>
          <w:tcPr>
            <w:tcW w:w="58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spacing w:before="20" w:after="20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Эталонный сегмент детектора отражает полный спектр неоновой лампы, используемый для активной коррекции положения длин волн. </w:t>
            </w:r>
          </w:p>
        </w:tc>
      </w:tr>
      <w:tr>
        <w:trPr/>
        <w:tc>
          <w:tcPr>
            <w:tcW w:w="10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1.14</w:t>
            </w:r>
          </w:p>
        </w:tc>
        <w:tc>
          <w:tcPr>
            <w:tcW w:w="27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Устранение самоабсорбции</w:t>
            </w:r>
          </w:p>
        </w:tc>
        <w:tc>
          <w:tcPr>
            <w:tcW w:w="58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Использование воздуха от внешнего компрессора для устранения влияния самопоглощения и предотвращения процессов ионизации легкоионизируемых элементов в «холодной» части плазмы. </w:t>
            </w:r>
          </w:p>
        </w:tc>
      </w:tr>
      <w:tr>
        <w:trPr/>
        <w:tc>
          <w:tcPr>
            <w:tcW w:w="10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1.15</w:t>
            </w:r>
          </w:p>
        </w:tc>
        <w:tc>
          <w:tcPr>
            <w:tcW w:w="27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потоками аргона</w:t>
            </w:r>
          </w:p>
        </w:tc>
        <w:tc>
          <w:tcPr>
            <w:tcW w:w="58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spacing w:before="20" w:after="20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Калиброванные расходомеры (клапаны двоичной системы). Высокоточный масс-флоу контроллер (MFC) для распылителя.</w:t>
              <w:br/>
              <w:t>Изменения потоков аргона пользователем при оптимизации аналитических параметров метода.</w:t>
            </w:r>
          </w:p>
        </w:tc>
      </w:tr>
      <w:tr>
        <w:trPr/>
        <w:tc>
          <w:tcPr>
            <w:tcW w:w="10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1.16</w:t>
            </w:r>
          </w:p>
        </w:tc>
        <w:tc>
          <w:tcPr>
            <w:tcW w:w="27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Система ввода образца</w:t>
            </w:r>
          </w:p>
        </w:tc>
        <w:tc>
          <w:tcPr>
            <w:tcW w:w="58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Модуль горелки  выполнен из металла,  легко съемным и легко разборный для удобства обслуживания и чистки всех компонентов. Подключение газов к блоку горелки  проводиться автоматически. </w:t>
            </w:r>
          </w:p>
          <w:p>
            <w:pPr>
              <w:pStyle w:val="Normal"/>
              <w:spacing w:before="20" w:after="20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Распылительная камера и распылитель перекрестного потока устойчивые ко всем видам кислот, включая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HF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>
            <w:pPr>
              <w:pStyle w:val="Normal"/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Горелка кварцевая, универсальная для радиального и аксиального наблюдения.</w:t>
            </w:r>
          </w:p>
          <w:p>
            <w:pPr>
              <w:pStyle w:val="Normal"/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Система подачи образца  оборудована 4-х канальным перистальтическим насосом с компьютерным контролем и переменной скоростью. Скорость до 7 мл/мин с шагом до 0,1 мл/мин. Быстрый монтаж/демонтаж системы ввода образца. Совместимость с любыми типами распылителей и распылительных камер.</w:t>
            </w:r>
          </w:p>
        </w:tc>
      </w:tr>
      <w:tr>
        <w:trPr/>
        <w:tc>
          <w:tcPr>
            <w:tcW w:w="10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1.17</w:t>
            </w:r>
          </w:p>
        </w:tc>
        <w:tc>
          <w:tcPr>
            <w:tcW w:w="27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Расход газа</w:t>
            </w:r>
          </w:p>
        </w:tc>
        <w:tc>
          <w:tcPr>
            <w:tcW w:w="58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spacing w:before="20" w:after="20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Расходы  автоматически выбирается в ходе анализа в зависимости от типа анализируемых образцов,  для каждого элемента отдельно. </w:t>
            </w:r>
          </w:p>
          <w:p>
            <w:pPr>
              <w:pStyle w:val="Normal"/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Минимальный расход аргона при горящей плазме – от 9 л/мин </w:t>
              <w:br/>
              <w:t>(8 – плазмообразующий, 0,2 – дополнительный, 0,8 – распылитель). При продувке оптической системы аргоном суммарный расход аргона – 10,5 л/мин.</w:t>
            </w:r>
          </w:p>
          <w:p>
            <w:pPr>
              <w:pStyle w:val="Normal"/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Использование аргона только в режиме измерений на спектрометре.</w:t>
            </w:r>
          </w:p>
          <w:p>
            <w:pPr>
              <w:pStyle w:val="Normal"/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требуется продувка прибора аргоном (азотом) после выключения.</w:t>
            </w:r>
          </w:p>
          <w:p>
            <w:pPr>
              <w:pStyle w:val="Normal"/>
              <w:spacing w:before="20" w:after="20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Время выхода на рабочий режим после полного выключения – не более 10 минут.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</w:p>
        </w:tc>
      </w:tr>
      <w:tr>
        <w:trPr/>
        <w:tc>
          <w:tcPr>
            <w:tcW w:w="10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1.18</w:t>
            </w:r>
          </w:p>
        </w:tc>
        <w:tc>
          <w:tcPr>
            <w:tcW w:w="27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Программное обеспечение</w:t>
            </w:r>
          </w:p>
        </w:tc>
        <w:tc>
          <w:tcPr>
            <w:tcW w:w="58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spacing w:before="20" w:after="20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Осуществляет полный контроль спектрометра, полную автоматизацию измерений и управление вспомогательными системами для ввода проб (генерации гидридов, лазерной абляции); сохраняет результаты измерений (включая калибровки, спектры); осуществляет повторную обработку спектров (репроцессинг) без проведения повторных измерений. Создание и хранение мультиволновых калибровок для качественного и полуколичественного анализа. Создание методов количественного анализа в любых единицах концентраций.  Применение метода добавок с автоматическим расчётом концентрации элемента в пробе.</w:t>
            </w:r>
          </w:p>
          <w:p>
            <w:pPr>
              <w:pStyle w:val="Normal"/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Таблица рекомендованных длин волн, таблица выбора любых линий элемента, таблица возможных наложений спектральных линий. Измерение интенсивности в режиме реального времени с возможностью оптимизации параметров метода.</w:t>
            </w:r>
          </w:p>
          <w:p>
            <w:pPr>
              <w:pStyle w:val="Normal"/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Функции контроля качества измерений с помощью стандартных образцов и автоматическим расчётом допускаемых отклонений, программа построения контрольных карт (Шухарта).</w:t>
            </w:r>
          </w:p>
          <w:p>
            <w:pPr>
              <w:pStyle w:val="Normal"/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 спектрометра по измеренным пределам обнаружения элементов с автоматическим расчётом.</w:t>
            </w:r>
          </w:p>
          <w:p>
            <w:pPr>
              <w:pStyle w:val="Normal"/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Подробные «всплывающие» подсказки на русском языке. </w:t>
            </w:r>
          </w:p>
        </w:tc>
      </w:tr>
      <w:tr>
        <w:trPr/>
        <w:tc>
          <w:tcPr>
            <w:tcW w:w="10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1.19</w:t>
            </w:r>
          </w:p>
        </w:tc>
        <w:tc>
          <w:tcPr>
            <w:tcW w:w="27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Способы спектральной коррекции</w:t>
            </w:r>
          </w:p>
        </w:tc>
        <w:tc>
          <w:tcPr>
            <w:tcW w:w="58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spacing w:before="20" w:after="20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Два типа коррекции спектральных влияний: межэлементная коррекция (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IEC</w:t>
            </w:r>
            <w:r>
              <w:rPr>
                <w:rFonts w:ascii="Times New Roman" w:hAnsi="Times New Roman"/>
                <w:sz w:val="20"/>
                <w:szCs w:val="20"/>
              </w:rPr>
              <w:t>) и многокомпонентная спектральная фильтрация (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MSF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). </w:t>
            </w:r>
          </w:p>
        </w:tc>
      </w:tr>
      <w:tr>
        <w:trPr/>
        <w:tc>
          <w:tcPr>
            <w:tcW w:w="10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1.20</w:t>
            </w:r>
          </w:p>
        </w:tc>
        <w:tc>
          <w:tcPr>
            <w:tcW w:w="27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Безопасность</w:t>
            </w:r>
          </w:p>
        </w:tc>
        <w:tc>
          <w:tcPr>
            <w:tcW w:w="58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spacing w:before="20" w:after="20"/>
              <w:ind w:left="27" w:right="0"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безопасности пользователя и защиты оборудования система производит непрерывный контроль потоков воды, воздуха и давления аргона, закрытия дверцы отделения подачи пробы и стабильности плазмы, состояние блокировки отражается графически на мониторе компьютера. В случае нарушения системы блокировки плазма немедленно и безопасно выключается.</w:t>
            </w:r>
          </w:p>
        </w:tc>
      </w:tr>
      <w:tr>
        <w:trPr/>
        <w:tc>
          <w:tcPr>
            <w:tcW w:w="10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1.21</w:t>
            </w:r>
          </w:p>
        </w:tc>
        <w:tc>
          <w:tcPr>
            <w:tcW w:w="27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Требования к условиям окружающей среды</w:t>
            </w:r>
          </w:p>
        </w:tc>
        <w:tc>
          <w:tcPr>
            <w:tcW w:w="58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spacing w:before="20" w:after="20"/>
              <w:ind w:left="27" w:right="0" w:hanging="0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Температура – от + 15 </w:t>
            </w:r>
            <w:bookmarkStart w:id="0" w:name="__DdeLink__7413_919324337"/>
            <w:r>
              <w:rPr>
                <w:rFonts w:eastAsia="Symbol" w:cs="Symbol" w:ascii="Times New Roman" w:hAnsi="Times New Roman"/>
                <w:sz w:val="20"/>
                <w:szCs w:val="20"/>
              </w:rPr>
              <w:t>°</w:t>
            </w:r>
            <w:bookmarkEnd w:id="0"/>
            <w:r>
              <w:rPr>
                <w:rFonts w:ascii="Times New Roman" w:hAnsi="Times New Roman"/>
                <w:sz w:val="20"/>
                <w:szCs w:val="20"/>
              </w:rPr>
              <w:t xml:space="preserve">С до + 30 </w:t>
            </w:r>
            <w:r>
              <w:rPr>
                <w:rFonts w:eastAsia="Symbol" w:cs="Symbol" w:ascii="Times New Roman" w:hAnsi="Times New Roman"/>
                <w:sz w:val="20"/>
                <w:szCs w:val="20"/>
              </w:rPr>
              <w:t>°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</w:p>
          <w:p>
            <w:pPr>
              <w:pStyle w:val="Normal"/>
              <w:spacing w:before="20" w:after="20"/>
              <w:ind w:left="27" w:right="0"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Влажность – от 20 % до 80 % без конденсации</w:t>
            </w:r>
          </w:p>
        </w:tc>
      </w:tr>
      <w:tr>
        <w:trPr/>
        <w:tc>
          <w:tcPr>
            <w:tcW w:w="10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КОМПЛЕКТАЦИЯ</w:t>
            </w:r>
          </w:p>
        </w:tc>
        <w:tc>
          <w:tcPr>
            <w:tcW w:w="58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10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rPr>
                <w:rFonts w:ascii="Times New Roman" w:hAnsi="Times New Roman" w:cs="Tahoma"/>
                <w:sz w:val="20"/>
                <w:szCs w:val="20"/>
              </w:rPr>
            </w:pPr>
            <w:r>
              <w:rPr>
                <w:rFonts w:cs="Tahoma"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27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Style20"/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Комплект документов</w:t>
            </w:r>
          </w:p>
        </w:tc>
        <w:tc>
          <w:tcPr>
            <w:tcW w:w="58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spacing w:before="20" w:after="20"/>
              <w:ind w:left="27" w:right="0"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документов при поставке:</w:t>
            </w:r>
          </w:p>
          <w:p>
            <w:pPr>
              <w:pStyle w:val="Normal"/>
              <w:spacing w:before="20" w:after="20"/>
              <w:ind w:left="27" w:right="0"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сертификат об утверждении типа средств измерений в Государственном реестре средств измерений (копия);  </w:t>
            </w:r>
          </w:p>
          <w:p>
            <w:pPr>
              <w:pStyle w:val="Normal"/>
              <w:spacing w:before="20" w:after="20"/>
              <w:ind w:left="27" w:right="0"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утвержденная методика поверки (копия);</w:t>
            </w:r>
          </w:p>
          <w:p>
            <w:pPr>
              <w:pStyle w:val="Normal"/>
              <w:spacing w:before="20" w:after="20"/>
              <w:ind w:left="27" w:right="0"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руководство по эксплуатации, техническое описание, руководство по программному обеспечению.</w:t>
            </w:r>
          </w:p>
          <w:p>
            <w:pPr>
              <w:pStyle w:val="Normal"/>
              <w:spacing w:before="20" w:after="20"/>
              <w:ind w:left="27" w:right="0"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Вся документация должна быть предоставлена на русском языке.</w:t>
            </w:r>
          </w:p>
        </w:tc>
      </w:tr>
      <w:tr>
        <w:trPr/>
        <w:tc>
          <w:tcPr>
            <w:tcW w:w="10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rPr>
                <w:rFonts w:ascii="Times New Roman" w:hAnsi="Times New Roman" w:cs="Tahoma"/>
                <w:sz w:val="20"/>
                <w:szCs w:val="20"/>
              </w:rPr>
            </w:pPr>
            <w:r>
              <w:rPr>
                <w:rFonts w:cs="Tahoma"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27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Style20"/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Требования к монтажу, наладке, сервисному обслуживанию, обучению работе на спектрометре</w:t>
            </w:r>
          </w:p>
        </w:tc>
        <w:tc>
          <w:tcPr>
            <w:tcW w:w="58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spacing w:before="20" w:after="20"/>
              <w:ind w:left="27" w:right="0" w:hanging="0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Монтаж, гарантийное обслуживание выполняется квалифицированной сервисной службой. После инсталляции обучение работе на спектрометре в течение 3 дней в лаборатории заказчика.</w:t>
            </w:r>
          </w:p>
        </w:tc>
      </w:tr>
      <w:tr>
        <w:trPr/>
        <w:tc>
          <w:tcPr>
            <w:tcW w:w="10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rPr>
                <w:rFonts w:ascii="Times New Roman" w:hAnsi="Times New Roman" w:cs="Tahoma"/>
                <w:sz w:val="20"/>
                <w:szCs w:val="20"/>
              </w:rPr>
            </w:pPr>
            <w:r>
              <w:rPr>
                <w:rFonts w:cs="Tahoma"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27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Комплект поставки</w:t>
            </w:r>
          </w:p>
        </w:tc>
        <w:tc>
          <w:tcPr>
            <w:tcW w:w="58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39" w:type="dxa"/>
            </w:tcMar>
          </w:tcPr>
          <w:p>
            <w:pPr>
              <w:pStyle w:val="Normal"/>
              <w:spacing w:lineRule="auto" w:line="216"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 Спектрометр, укомплектованный кварцевой горелкой в сборе с корундовым инжектором, пластиковой распылительной камерой и перекрестным распылителем, устойчивыми к плавиковой кислоте. Встроенный 4-х канальный перистальтический насос. Встроенная видеокамера для наблюдения за плазмой.</w:t>
            </w:r>
          </w:p>
          <w:p>
            <w:pPr>
              <w:pStyle w:val="Normal"/>
              <w:spacing w:lineRule="auto" w:line="216"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 Воздушный компрессор безмасляный, малошумящий для подачи сдувающего воздуха и устранения эффекта самоабсорбции в плазме.</w:t>
            </w:r>
          </w:p>
          <w:p>
            <w:pPr>
              <w:pStyle w:val="Normal"/>
              <w:spacing w:lineRule="auto" w:line="216"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 Рециркулятор-охладитель с замкнутым циклом.</w:t>
            </w:r>
          </w:p>
          <w:p>
            <w:pPr>
              <w:pStyle w:val="Normal"/>
              <w:spacing w:lineRule="auto" w:line="216"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1.4. Комплект программного обеспечения для управления спектрометром на оригинальном диске или флэш-носителе.</w:t>
            </w:r>
          </w:p>
          <w:p>
            <w:pPr>
              <w:pStyle w:val="Normal"/>
              <w:widowControl w:val="false"/>
              <w:spacing w:lineRule="auto" w:line="216"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1.5. Персональный компьютер с принтером и монитором.</w:t>
            </w:r>
          </w:p>
          <w:p>
            <w:pPr>
              <w:pStyle w:val="Normal"/>
              <w:widowControl w:val="false"/>
              <w:spacing w:lineRule="auto" w:line="216"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1.6. Комплект для монтажа спектрометра.</w:t>
            </w:r>
          </w:p>
          <w:p>
            <w:pPr>
              <w:pStyle w:val="Normal"/>
              <w:widowControl w:val="false"/>
              <w:spacing w:lineRule="auto" w:line="216"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1.7. Редуктор для аргона – 1 шт.</w:t>
            </w:r>
          </w:p>
          <w:p>
            <w:pPr>
              <w:pStyle w:val="Normal"/>
              <w:widowControl w:val="false"/>
              <w:spacing w:lineRule="auto" w:line="216"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1.8. Набор стандартных растворов для инсталляции и градуировки спектрометра.</w:t>
            </w:r>
          </w:p>
          <w:p>
            <w:pPr>
              <w:pStyle w:val="Normal"/>
              <w:widowControl w:val="false"/>
              <w:spacing w:lineRule="auto" w:line="216" w:before="20" w:after="20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1.9. Стандартный раствор для градуировки на 26 элементов (Ag, Al, As, Ba, Be, Ca, Cd, Co, Cr, Cu, Fe,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K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Mg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Mn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Mo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Ni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Pb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Sb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Tl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Zn</w:t>
            </w:r>
            <w:r>
              <w:rPr>
                <w:rFonts w:ascii="Times New Roman" w:hAnsi="Times New Roman"/>
                <w:sz w:val="20"/>
                <w:szCs w:val="20"/>
              </w:rPr>
              <w:t>) с концентрацией элементов 100 мг/л, не менее 125 мл – 1 шт.</w:t>
            </w:r>
          </w:p>
          <w:p>
            <w:pPr>
              <w:pStyle w:val="Normal"/>
              <w:widowControl w:val="false"/>
              <w:spacing w:lineRule="auto" w:line="216" w:before="20" w:after="20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1.10. Одноэлементные стандартные растворы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Hg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Be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Pb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B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 концентрацией 1000 мг/л, не менее 125 мл – по 1 шт. на элемент.</w:t>
            </w:r>
          </w:p>
          <w:p>
            <w:pPr>
              <w:pStyle w:val="Normal"/>
              <w:widowControl w:val="false"/>
              <w:spacing w:lineRule="auto" w:line="216"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1.11. Автодозатор для подачи проб в спектрометр – 1 шт.</w:t>
            </w:r>
          </w:p>
          <w:p>
            <w:pPr>
              <w:pStyle w:val="Normal"/>
              <w:widowControl w:val="false"/>
              <w:spacing w:lineRule="auto" w:line="216"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1.12. Штативы автодозатора для пробирок 50 мл – 3 шт.</w:t>
            </w:r>
          </w:p>
          <w:p>
            <w:pPr>
              <w:pStyle w:val="Normal"/>
              <w:widowControl w:val="false"/>
              <w:spacing w:lineRule="auto" w:line="216"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1.13. Комплект ртуть-гидридной приставки – 1 шт.</w:t>
            </w:r>
          </w:p>
          <w:p>
            <w:pPr>
              <w:pStyle w:val="Normal"/>
              <w:widowControl w:val="false"/>
              <w:spacing w:lineRule="auto" w:line="216"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1.14. Набор расходных материалов на 1-2 года работы.</w:t>
            </w:r>
          </w:p>
          <w:p>
            <w:pPr>
              <w:pStyle w:val="Normal"/>
              <w:widowControl w:val="false"/>
              <w:spacing w:lineRule="auto" w:line="216"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1.15. Емкости объёмом 50 мл, полипропиленовые, градуированные, с винтовой крышкой (не менее 500 шт./уп.) – 1 уп.</w:t>
            </w:r>
          </w:p>
          <w:p>
            <w:pPr>
              <w:pStyle w:val="Normal"/>
              <w:widowControl w:val="false"/>
              <w:spacing w:lineRule="auto" w:line="216"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1.16. Источник бесперебойного питания – 1 шт.</w:t>
            </w:r>
          </w:p>
        </w:tc>
      </w:tr>
    </w:tbl>
    <w:p>
      <w:pPr>
        <w:pStyle w:val="Normal"/>
        <w:jc w:val="center"/>
        <w:rPr>
          <w:rFonts w:ascii="Times New Roman" w:hAnsi="Times New Roman" w:cs="Tahoma"/>
          <w:b w:val="false"/>
          <w:b w:val="false"/>
          <w:bCs w:val="false"/>
          <w:sz w:val="24"/>
          <w:szCs w:val="24"/>
          <w:lang w:val="en-US"/>
        </w:rPr>
      </w:pPr>
      <w:r>
        <w:rPr>
          <w:rFonts w:cs="Tahoma" w:ascii="Times New Roman" w:hAnsi="Times New Roman"/>
          <w:b w:val="false"/>
          <w:bCs w:val="false"/>
          <w:sz w:val="24"/>
          <w:szCs w:val="24"/>
          <w:lang w:val="en-US"/>
        </w:rPr>
      </w:r>
    </w:p>
    <w:p>
      <w:pPr>
        <w:pStyle w:val="Normal"/>
        <w:jc w:val="center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Н</w:t>
      </w: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>ачальник ИЦКВ                                                                                         О.И. Нездойминога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true"/>
      <w:bidi w:val="0"/>
      <w:jc w:val="left"/>
    </w:pPr>
    <w:rPr>
      <w:rFonts w:ascii="Liberation Serif" w:hAnsi="Liberation Serif" w:eastAsia="SimSun" w:cs="Mangal"/>
      <w:color w:val="00000A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Содержимое таблицы"/>
    <w:basedOn w:val="Normal"/>
    <w:qFormat/>
    <w:pPr>
      <w:suppressLineNumbers/>
    </w:pPr>
    <w:rPr/>
  </w:style>
  <w:style w:type="paragraph" w:styleId="Style20">
    <w:name w:val="Header"/>
    <w:basedOn w:val="Normal"/>
    <w:pPr>
      <w:tabs>
        <w:tab w:val="center" w:pos="4153" w:leader="none"/>
        <w:tab w:val="right" w:pos="8306" w:leader="none"/>
      </w:tabs>
      <w:spacing w:before="0" w:after="0"/>
      <w:jc w:val="left"/>
    </w:pPr>
    <w:rPr>
      <w:color w:val="00000A"/>
      <w:sz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</TotalTime>
  <Application>LibreOffice/5.3.2.2$Windows_X86_64 LibreOffice_project/6cd4f1ef626f15116896b1d8e1398b56da0d0ee1</Application>
  <Pages>3</Pages>
  <Words>1042</Words>
  <Characters>7178</Characters>
  <CharactersWithSpaces>8231</CharactersWithSpaces>
  <Paragraphs>124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2021-08-10T10:50:12Z</dcterms:created>
  <dc:creator/>
  <dc:description/>
  <dc:language>ru-RU</dc:language>
  <cp:lastModifiedBy/>
  <dcterms:modified xsi:type="dcterms:W3CDTF">2021-08-11T11:36:27Z</dcterms:modified>
  <cp:revision>15</cp:revision>
  <dc:subject/>
  <dc:title/>
</cp:coreProperties>
</file>